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11" w:type="pct"/>
        <w:tblInd w:w="-998" w:type="dxa"/>
        <w:tblLook w:val="04A0" w:firstRow="1" w:lastRow="0" w:firstColumn="1" w:lastColumn="0" w:noHBand="0" w:noVBand="1"/>
      </w:tblPr>
      <w:tblGrid>
        <w:gridCol w:w="1700"/>
        <w:gridCol w:w="1556"/>
        <w:gridCol w:w="1284"/>
        <w:gridCol w:w="1448"/>
        <w:gridCol w:w="1355"/>
        <w:gridCol w:w="1248"/>
        <w:gridCol w:w="1248"/>
        <w:gridCol w:w="774"/>
      </w:tblGrid>
      <w:tr w:rsidR="00776430" w:rsidRPr="00423573" w:rsidTr="00776430">
        <w:trPr>
          <w:trHeight w:val="548"/>
        </w:trPr>
        <w:tc>
          <w:tcPr>
            <w:tcW w:w="802" w:type="pct"/>
          </w:tcPr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Criterios de evaluación</w:t>
            </w:r>
          </w:p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4198" w:type="pct"/>
            <w:gridSpan w:val="7"/>
          </w:tcPr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/>
              </w:rPr>
              <w:t>Descriptores</w:t>
            </w:r>
            <w:proofErr w:type="spellEnd"/>
          </w:p>
        </w:tc>
      </w:tr>
      <w:tr w:rsidR="00776430" w:rsidRPr="00423573" w:rsidTr="00776430">
        <w:trPr>
          <w:trHeight w:val="716"/>
        </w:trPr>
        <w:tc>
          <w:tcPr>
            <w:tcW w:w="802" w:type="pct"/>
          </w:tcPr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s-ES"/>
              </w:rPr>
            </w:pPr>
            <w:proofErr w:type="spellStart"/>
            <w:r w:rsidRPr="00D3605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  <w:t>Criterio</w:t>
            </w:r>
            <w:proofErr w:type="spellEnd"/>
          </w:p>
        </w:tc>
        <w:tc>
          <w:tcPr>
            <w:tcW w:w="734" w:type="pct"/>
          </w:tcPr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D3605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  <w:t>Excelente</w:t>
            </w:r>
            <w:proofErr w:type="spellEnd"/>
          </w:p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D3605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02" w:type="pct"/>
          </w:tcPr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D3605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  <w:t>Sobresaliente</w:t>
            </w:r>
            <w:proofErr w:type="spellEnd"/>
          </w:p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D3605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  <w:t>90</w:t>
            </w:r>
          </w:p>
        </w:tc>
        <w:tc>
          <w:tcPr>
            <w:tcW w:w="683" w:type="pct"/>
          </w:tcPr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D3605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  <w:t>Aceptable</w:t>
            </w:r>
            <w:proofErr w:type="spellEnd"/>
          </w:p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D3605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  <w:t>80</w:t>
            </w:r>
          </w:p>
        </w:tc>
        <w:tc>
          <w:tcPr>
            <w:tcW w:w="638" w:type="pct"/>
          </w:tcPr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D3605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  <w:t>Suficiente</w:t>
            </w:r>
            <w:proofErr w:type="spellEnd"/>
          </w:p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D3605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  <w:t>70</w:t>
            </w:r>
          </w:p>
        </w:tc>
        <w:tc>
          <w:tcPr>
            <w:tcW w:w="588" w:type="pct"/>
          </w:tcPr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D3605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  <w:t>Insuficiente</w:t>
            </w:r>
            <w:proofErr w:type="spellEnd"/>
          </w:p>
          <w:p w:rsidR="00776430" w:rsidRPr="00D36054" w:rsidRDefault="00776430" w:rsidP="004734B5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D3605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588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50 o menos</w:t>
            </w:r>
          </w:p>
        </w:tc>
        <w:tc>
          <w:tcPr>
            <w:tcW w:w="365" w:type="pct"/>
          </w:tcPr>
          <w:p w:rsidR="00776430" w:rsidRPr="00423573" w:rsidRDefault="00776430" w:rsidP="004734B5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Cs w:val="18"/>
              </w:rPr>
            </w:pPr>
            <w:r w:rsidRPr="00423573">
              <w:rPr>
                <w:rFonts w:ascii="Arial Narrow" w:eastAsia="Times New Roman" w:hAnsi="Arial Narrow" w:cs="Arial"/>
                <w:b/>
                <w:bCs/>
                <w:color w:val="000000"/>
                <w:szCs w:val="18"/>
              </w:rPr>
              <w:t>Puntos  totales</w:t>
            </w:r>
          </w:p>
          <w:p w:rsidR="00776430" w:rsidRPr="00423573" w:rsidRDefault="00776430" w:rsidP="004734B5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Cs w:val="18"/>
              </w:rPr>
            </w:pPr>
            <w:r w:rsidRPr="00423573">
              <w:rPr>
                <w:rFonts w:ascii="Arial Narrow" w:eastAsia="Times New Roman" w:hAnsi="Arial Narrow" w:cs="Arial"/>
                <w:b/>
                <w:bCs/>
                <w:color w:val="000000"/>
                <w:szCs w:val="18"/>
              </w:rPr>
              <w:t>100</w:t>
            </w:r>
          </w:p>
        </w:tc>
      </w:tr>
      <w:tr w:rsidR="00776430" w:rsidRPr="00423573" w:rsidTr="00776430">
        <w:trPr>
          <w:trHeight w:val="535"/>
        </w:trPr>
        <w:tc>
          <w:tcPr>
            <w:tcW w:w="802" w:type="pct"/>
            <w:vMerge w:val="restar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1. </w:t>
            </w: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Identifica un problema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mostrando una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 </w:t>
            </w: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situación de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riesgo en la que se pueda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aplicar la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psicología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positiva</w:t>
            </w: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cr/>
            </w: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34" w:type="pct"/>
          </w:tcPr>
          <w:p w:rsidR="00776430" w:rsidRDefault="00776430" w:rsidP="0077643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Equivalencia: </w:t>
            </w:r>
          </w:p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40 puntos</w:t>
            </w:r>
          </w:p>
        </w:tc>
        <w:tc>
          <w:tcPr>
            <w:tcW w:w="602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   36 puntos</w:t>
            </w:r>
          </w:p>
        </w:tc>
        <w:tc>
          <w:tcPr>
            <w:tcW w:w="683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32 puntos</w:t>
            </w:r>
          </w:p>
        </w:tc>
        <w:tc>
          <w:tcPr>
            <w:tcW w:w="638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28 puntos</w:t>
            </w:r>
          </w:p>
        </w:tc>
        <w:tc>
          <w:tcPr>
            <w:tcW w:w="588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24 puntos</w:t>
            </w:r>
          </w:p>
        </w:tc>
        <w:tc>
          <w:tcPr>
            <w:tcW w:w="588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0 puntos</w:t>
            </w:r>
          </w:p>
        </w:tc>
        <w:tc>
          <w:tcPr>
            <w:tcW w:w="365" w:type="pct"/>
            <w:vMerge w:val="restart"/>
          </w:tcPr>
          <w:p w:rsidR="00776430" w:rsidRPr="00423573" w:rsidRDefault="00776430" w:rsidP="004734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  <w:t>40</w:t>
            </w:r>
          </w:p>
        </w:tc>
      </w:tr>
      <w:tr w:rsidR="00776430" w:rsidRPr="00423573" w:rsidTr="00776430">
        <w:trPr>
          <w:trHeight w:val="146"/>
        </w:trPr>
        <w:tc>
          <w:tcPr>
            <w:tcW w:w="802" w:type="pct"/>
            <w:vMerge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34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Identifica un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problema que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muestra una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situación de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riesgo en la que se puede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aplicar de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manera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efectiva la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psicología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positiva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.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602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Identifica un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problema que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muestra una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situación en la que se puede aplicar de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manera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efectiva la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psicología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positiva, pero no es muy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específica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683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Identifica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un problema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en el que se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puede aplicar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la psicología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positiva, pero es muy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general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638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Identifica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un problema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en el que se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puede aplicar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la psicología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general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588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Identifica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un problema,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pero la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psicología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positiva no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es la mejor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opción para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tratarlo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588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No cumple con el criterio. </w:t>
            </w:r>
          </w:p>
        </w:tc>
        <w:tc>
          <w:tcPr>
            <w:tcW w:w="365" w:type="pct"/>
            <w:vMerge/>
          </w:tcPr>
          <w:p w:rsidR="00776430" w:rsidRPr="00423573" w:rsidRDefault="00776430" w:rsidP="004734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</w:pPr>
          </w:p>
        </w:tc>
      </w:tr>
      <w:tr w:rsidR="00776430" w:rsidRPr="00423573" w:rsidTr="00776430">
        <w:trPr>
          <w:trHeight w:val="365"/>
        </w:trPr>
        <w:tc>
          <w:tcPr>
            <w:tcW w:w="802" w:type="pct"/>
            <w:vMerge w:val="restart"/>
          </w:tcPr>
          <w:p w:rsidR="00776430" w:rsidRPr="00D36054" w:rsidRDefault="00776430" w:rsidP="004734B5">
            <w:pPr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2. </w:t>
            </w:r>
            <w:r w:rsidRPr="00D3605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/>
              </w:rPr>
              <w:t>Incluye ejemplos identificando variables y el manejo que se le puede dar al problema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34" w:type="pct"/>
          </w:tcPr>
          <w:p w:rsidR="00776430" w:rsidRDefault="00776430" w:rsidP="0077643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</w:t>
            </w:r>
          </w:p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 30 puntos</w:t>
            </w:r>
          </w:p>
        </w:tc>
        <w:tc>
          <w:tcPr>
            <w:tcW w:w="602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27 puntos</w:t>
            </w:r>
          </w:p>
        </w:tc>
        <w:tc>
          <w:tcPr>
            <w:tcW w:w="683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24 puntos</w:t>
            </w:r>
          </w:p>
        </w:tc>
        <w:tc>
          <w:tcPr>
            <w:tcW w:w="638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21 puntos</w:t>
            </w:r>
          </w:p>
        </w:tc>
        <w:tc>
          <w:tcPr>
            <w:tcW w:w="588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18 puntos</w:t>
            </w:r>
          </w:p>
        </w:tc>
        <w:tc>
          <w:tcPr>
            <w:tcW w:w="588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0 puntos</w:t>
            </w:r>
          </w:p>
        </w:tc>
        <w:tc>
          <w:tcPr>
            <w:tcW w:w="365" w:type="pct"/>
            <w:vMerge w:val="restart"/>
          </w:tcPr>
          <w:p w:rsidR="00776430" w:rsidRPr="00423573" w:rsidRDefault="00776430" w:rsidP="004734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  <w:t>30</w:t>
            </w:r>
          </w:p>
        </w:tc>
      </w:tr>
      <w:tr w:rsidR="00776430" w:rsidRPr="00423573" w:rsidTr="00776430">
        <w:trPr>
          <w:trHeight w:val="146"/>
        </w:trPr>
        <w:tc>
          <w:tcPr>
            <w:tcW w:w="802" w:type="pct"/>
            <w:vMerge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34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Incluye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ejemplos muy claros en los que identifica las variables y el manejo que se le puede dar al problema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mencionado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.</w:t>
            </w:r>
          </w:p>
        </w:tc>
        <w:tc>
          <w:tcPr>
            <w:tcW w:w="602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Incluye de </w:t>
            </w:r>
          </w:p>
          <w:p w:rsidR="00776430" w:rsidRPr="00D36054" w:rsidRDefault="007E0CC6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m</w:t>
            </w:r>
            <w:bookmarkStart w:id="0" w:name="_GoBack"/>
            <w:bookmarkEnd w:id="0"/>
            <w:r w:rsidR="00776430"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anera general ejemplos en los que identifica las variables y el manejo que se le puede dar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al problema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mencionado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683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Incluye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ejemplos y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describe el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manejo que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se le puede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dar al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problema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mencionado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.</w:t>
            </w:r>
          </w:p>
        </w:tc>
        <w:tc>
          <w:tcPr>
            <w:tcW w:w="638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Incluye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algunos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ejemplos del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problema 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identifica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pocas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variables del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mismo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588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Incluye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algunos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ejemplos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de problemas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en los que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se puede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utilizar la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psicología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positiva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588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No incluye ejemplos.</w:t>
            </w:r>
          </w:p>
        </w:tc>
        <w:tc>
          <w:tcPr>
            <w:tcW w:w="365" w:type="pct"/>
            <w:vMerge/>
          </w:tcPr>
          <w:p w:rsidR="00776430" w:rsidRPr="00423573" w:rsidRDefault="00776430" w:rsidP="004734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</w:pPr>
          </w:p>
        </w:tc>
      </w:tr>
      <w:tr w:rsidR="00776430" w:rsidRPr="00423573" w:rsidTr="00776430">
        <w:trPr>
          <w:trHeight w:val="183"/>
        </w:trPr>
        <w:tc>
          <w:tcPr>
            <w:tcW w:w="802" w:type="pct"/>
            <w:vMerge w:val="restar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/>
              </w:rPr>
              <w:t xml:space="preserve">3. Reflexiona sobre </w:t>
            </w:r>
            <w:r w:rsidRPr="00D3605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/>
              </w:rPr>
              <w:t>la importancia de una intervención oportuna a través de las técnicas de la psicología  positiva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34" w:type="pct"/>
          </w:tcPr>
          <w:p w:rsidR="00776430" w:rsidRDefault="00776430" w:rsidP="0077643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Equivalencia: </w:t>
            </w:r>
          </w:p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30 puntos</w:t>
            </w:r>
          </w:p>
        </w:tc>
        <w:tc>
          <w:tcPr>
            <w:tcW w:w="602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27 puntos</w:t>
            </w:r>
          </w:p>
        </w:tc>
        <w:tc>
          <w:tcPr>
            <w:tcW w:w="683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24 puntos</w:t>
            </w:r>
          </w:p>
        </w:tc>
        <w:tc>
          <w:tcPr>
            <w:tcW w:w="638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21 puntos</w:t>
            </w:r>
          </w:p>
        </w:tc>
        <w:tc>
          <w:tcPr>
            <w:tcW w:w="588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18 puntos</w:t>
            </w:r>
          </w:p>
        </w:tc>
        <w:tc>
          <w:tcPr>
            <w:tcW w:w="588" w:type="pct"/>
          </w:tcPr>
          <w:p w:rsidR="00776430" w:rsidRPr="00D36054" w:rsidRDefault="00776430" w:rsidP="0077643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>Equivalencia: 0 puntos</w:t>
            </w:r>
          </w:p>
        </w:tc>
        <w:tc>
          <w:tcPr>
            <w:tcW w:w="365" w:type="pct"/>
            <w:vMerge w:val="restart"/>
          </w:tcPr>
          <w:p w:rsidR="00776430" w:rsidRPr="00423573" w:rsidRDefault="007E0CC6" w:rsidP="004734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  <w:t>30</w:t>
            </w:r>
          </w:p>
        </w:tc>
      </w:tr>
      <w:tr w:rsidR="00776430" w:rsidRPr="00423573" w:rsidTr="00776430">
        <w:trPr>
          <w:trHeight w:val="146"/>
        </w:trPr>
        <w:tc>
          <w:tcPr>
            <w:tcW w:w="802" w:type="pct"/>
            <w:vMerge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734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Hace una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reflexión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adecuada,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describe los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pasos de una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intervención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oportuna 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través de las técnicas de la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psicología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positiva y está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fundamentada de manera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apropiada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. </w:t>
            </w: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cr/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602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Hace una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reflexión en la que describe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los pasos de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una intervención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oportuna 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través de la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psicología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positiva y está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fundamentada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.</w:t>
            </w:r>
          </w:p>
        </w:tc>
        <w:tc>
          <w:tcPr>
            <w:tcW w:w="683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Hace una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reflexión con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base en los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conceptos de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la psicología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positiva, pero no hay una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descripción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muy clara de la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intervención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.</w:t>
            </w:r>
          </w:p>
        </w:tc>
        <w:tc>
          <w:tcPr>
            <w:tcW w:w="638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Hace una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reflexión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buena de la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intervención,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pero no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presenta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buena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fundamentación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88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Presenta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reflexión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pobre y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confusa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588" w:type="pct"/>
          </w:tcPr>
          <w:p w:rsidR="00776430" w:rsidRPr="00D36054" w:rsidRDefault="00776430" w:rsidP="004734B5">
            <w:pP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</w:pPr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 xml:space="preserve">No presenta </w:t>
            </w:r>
          </w:p>
          <w:p w:rsidR="00776430" w:rsidRPr="00D36054" w:rsidRDefault="00776430" w:rsidP="004734B5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</w:pPr>
            <w:proofErr w:type="gramStart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reflexión</w:t>
            </w:r>
            <w:proofErr w:type="gramEnd"/>
            <w:r w:rsidRPr="00D3605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/>
              </w:rPr>
              <w:t>.</w:t>
            </w:r>
            <w:r w:rsidRPr="00D3605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365" w:type="pct"/>
            <w:vMerge/>
          </w:tcPr>
          <w:p w:rsidR="00776430" w:rsidRPr="00423573" w:rsidRDefault="00776430" w:rsidP="004734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s-ES"/>
              </w:rPr>
            </w:pPr>
          </w:p>
        </w:tc>
      </w:tr>
    </w:tbl>
    <w:p w:rsidR="00C41333" w:rsidRDefault="00C41333"/>
    <w:sectPr w:rsidR="00C413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30"/>
    <w:rsid w:val="00776430"/>
    <w:rsid w:val="007E0CC6"/>
    <w:rsid w:val="00C4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BF4E03-07C0-4458-9CDD-CCF5F3DB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64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Guadalupe Aguilar Martínez</dc:creator>
  <cp:keywords/>
  <dc:description/>
  <cp:lastModifiedBy>María Guadalupe Aguilar Martínez</cp:lastModifiedBy>
  <cp:revision>2</cp:revision>
  <dcterms:created xsi:type="dcterms:W3CDTF">2014-03-28T15:41:00Z</dcterms:created>
  <dcterms:modified xsi:type="dcterms:W3CDTF">2014-05-13T17:51:00Z</dcterms:modified>
</cp:coreProperties>
</file>